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F9" w:rsidRDefault="00B43DE1">
      <w:r w:rsidRPr="001A4136">
        <w:rPr>
          <w:b/>
          <w:sz w:val="28"/>
          <w:szCs w:val="28"/>
        </w:rPr>
        <w:t>Francis Šūberts</w:t>
      </w:r>
      <w:r>
        <w:t xml:space="preserve"> (1797 – 1828)</w:t>
      </w:r>
    </w:p>
    <w:p w:rsidR="00B43DE1" w:rsidRPr="00A83C12" w:rsidRDefault="00B43DE1">
      <w:pPr>
        <w:rPr>
          <w:sz w:val="24"/>
          <w:szCs w:val="24"/>
        </w:rPr>
      </w:pPr>
      <w:r w:rsidRPr="00A83C12">
        <w:rPr>
          <w:b/>
          <w:sz w:val="24"/>
          <w:szCs w:val="24"/>
        </w:rPr>
        <w:t xml:space="preserve">Laikabiedri </w:t>
      </w:r>
      <w:r w:rsidRPr="00A83C12">
        <w:rPr>
          <w:sz w:val="24"/>
          <w:szCs w:val="24"/>
        </w:rPr>
        <w:t>– Bēthovens (dzīvo vienā pilsētā – Vīnē), Šūmanis (pēc komponista nāves, popularizē viņa mūziku), Rosīni</w:t>
      </w:r>
      <w:r w:rsidRPr="00A83C12">
        <w:rPr>
          <w:sz w:val="24"/>
          <w:szCs w:val="24"/>
        </w:rPr>
        <w:br/>
      </w:r>
      <w:r w:rsidRPr="00A83C12">
        <w:rPr>
          <w:b/>
          <w:sz w:val="24"/>
          <w:szCs w:val="24"/>
        </w:rPr>
        <w:t>Vēsturiskais konteksts:</w:t>
      </w:r>
      <w:r w:rsidRPr="00A83C12">
        <w:rPr>
          <w:sz w:val="24"/>
          <w:szCs w:val="24"/>
        </w:rPr>
        <w:br/>
        <w:t>- pēc revolūcijas krīze, liberālo uzskatu un ideālu krīze. Meternihs (Austrijas kanclers), cenzūra</w:t>
      </w:r>
      <w:r w:rsidRPr="00A83C12">
        <w:rPr>
          <w:sz w:val="24"/>
          <w:szCs w:val="24"/>
        </w:rPr>
        <w:br/>
        <w:t>- Napolenons pie varas nonāk 1799</w:t>
      </w:r>
      <w:r w:rsidR="00A83C12">
        <w:rPr>
          <w:sz w:val="24"/>
          <w:szCs w:val="24"/>
        </w:rPr>
        <w:t>.</w:t>
      </w:r>
      <w:r w:rsidRPr="00A83C12">
        <w:rPr>
          <w:sz w:val="24"/>
          <w:szCs w:val="24"/>
        </w:rPr>
        <w:t>, seko 13 gadu ilga karadarbība, 5</w:t>
      </w:r>
      <w:r w:rsidR="00A83C12">
        <w:rPr>
          <w:sz w:val="24"/>
          <w:szCs w:val="24"/>
        </w:rPr>
        <w:t xml:space="preserve"> </w:t>
      </w:r>
      <w:r w:rsidRPr="00A83C12">
        <w:rPr>
          <w:sz w:val="24"/>
          <w:szCs w:val="24"/>
        </w:rPr>
        <w:t>000</w:t>
      </w:r>
      <w:r w:rsidR="00A83C12">
        <w:rPr>
          <w:sz w:val="24"/>
          <w:szCs w:val="24"/>
        </w:rPr>
        <w:t xml:space="preserve"> </w:t>
      </w:r>
      <w:r w:rsidRPr="00A83C12">
        <w:rPr>
          <w:sz w:val="24"/>
          <w:szCs w:val="24"/>
        </w:rPr>
        <w:t>000 kritušo</w:t>
      </w:r>
      <w:r w:rsidRPr="00A83C12">
        <w:rPr>
          <w:sz w:val="24"/>
          <w:szCs w:val="24"/>
        </w:rPr>
        <w:br/>
        <w:t>- optimismu nomaina apjukums un bailes</w:t>
      </w:r>
      <w:r w:rsidRPr="00A83C12">
        <w:rPr>
          <w:sz w:val="24"/>
          <w:szCs w:val="24"/>
        </w:rPr>
        <w:br/>
        <w:t>- Bīdermaiera stils (</w:t>
      </w:r>
      <w:bookmarkStart w:id="0" w:name="_GoBack"/>
      <w:r w:rsidR="00A83C12" w:rsidRPr="00351CF9">
        <w:rPr>
          <w:i/>
          <w:sz w:val="24"/>
          <w:szCs w:val="24"/>
        </w:rPr>
        <w:t>Biedermaier</w:t>
      </w:r>
      <w:bookmarkEnd w:id="0"/>
      <w:r w:rsidR="00A83C12" w:rsidRPr="00A83C12">
        <w:rPr>
          <w:sz w:val="24"/>
          <w:szCs w:val="24"/>
        </w:rPr>
        <w:t xml:space="preserve"> - </w:t>
      </w:r>
      <w:r w:rsidRPr="00A83C12">
        <w:rPr>
          <w:sz w:val="24"/>
          <w:szCs w:val="24"/>
        </w:rPr>
        <w:t>sentimentāls, mietpilsonība, ērtība, mājīgums), sentimentālisms</w:t>
      </w:r>
      <w:r w:rsidRPr="00A83C12">
        <w:rPr>
          <w:sz w:val="24"/>
          <w:szCs w:val="24"/>
        </w:rPr>
        <w:br/>
        <w:t>- teātros – itāļu komēdija, vienkāršas formas</w:t>
      </w:r>
      <w:r w:rsidRPr="00A83C12">
        <w:rPr>
          <w:sz w:val="24"/>
          <w:szCs w:val="24"/>
        </w:rPr>
        <w:br/>
        <w:t>- centrā – mazais cilvēks, viņa emocijas, jūtīgums</w:t>
      </w:r>
      <w:r w:rsidR="008D1B39" w:rsidRPr="00A83C12">
        <w:rPr>
          <w:sz w:val="24"/>
          <w:szCs w:val="24"/>
        </w:rPr>
        <w:t>, subjektīvs pasaules skatījums</w:t>
      </w:r>
      <w:r w:rsidR="008D1B39" w:rsidRPr="00A83C12">
        <w:rPr>
          <w:sz w:val="24"/>
          <w:szCs w:val="24"/>
        </w:rPr>
        <w:br/>
        <w:t>- mākslinieki, mūziķi arvien vairāk runā par sevi, saviem sapņiem, vīzijām, arī misticisms, melanholija, nakts murgi, pasaules skumjas, ilgošanās</w:t>
      </w:r>
      <w:r w:rsidR="00A83C12" w:rsidRPr="00A83C12">
        <w:rPr>
          <w:sz w:val="24"/>
          <w:szCs w:val="24"/>
        </w:rPr>
        <w:t>. Herc und Schmerz</w:t>
      </w:r>
    </w:p>
    <w:p w:rsidR="001A4136" w:rsidRPr="001A4136" w:rsidRDefault="008D1B39">
      <w:pPr>
        <w:rPr>
          <w:b/>
          <w:sz w:val="24"/>
          <w:szCs w:val="24"/>
        </w:rPr>
      </w:pPr>
      <w:r w:rsidRPr="00A83C12">
        <w:rPr>
          <w:b/>
          <w:sz w:val="24"/>
          <w:szCs w:val="24"/>
        </w:rPr>
        <w:t>Biogrāfijas dati:</w:t>
      </w:r>
      <w:r w:rsidR="001A4136">
        <w:rPr>
          <w:b/>
          <w:sz w:val="24"/>
          <w:szCs w:val="24"/>
        </w:rPr>
        <w:br/>
      </w:r>
      <w:r w:rsidRPr="00A83C12">
        <w:rPr>
          <w:sz w:val="24"/>
          <w:szCs w:val="24"/>
        </w:rPr>
        <w:t xml:space="preserve">Dzīves laikā atzīst un novērtē tikai draugu loks. </w:t>
      </w:r>
      <w:r w:rsidRPr="00A83C12">
        <w:rPr>
          <w:sz w:val="24"/>
          <w:szCs w:val="24"/>
        </w:rPr>
        <w:br/>
        <w:t>Nekalpo dienestā, nav bagātu aizbildņu. Pilnībā brīvmākslinieks</w:t>
      </w:r>
      <w:r w:rsidRPr="00A83C12">
        <w:rPr>
          <w:sz w:val="24"/>
          <w:szCs w:val="24"/>
        </w:rPr>
        <w:br/>
        <w:t>saraksta pāri par 1000 sacerējumu, bet liela daļa nav saglabājušies</w:t>
      </w:r>
      <w:r w:rsidR="00A83C12">
        <w:rPr>
          <w:sz w:val="24"/>
          <w:szCs w:val="24"/>
        </w:rPr>
        <w:t>. Viņus nepublicē, atskaņo pārsvarā tuvu draugu lokā</w:t>
      </w:r>
      <w:r w:rsidR="001A4136">
        <w:rPr>
          <w:sz w:val="24"/>
          <w:szCs w:val="24"/>
        </w:rPr>
        <w:br/>
        <w:t>N</w:t>
      </w:r>
      <w:r w:rsidRPr="00A83C12">
        <w:rPr>
          <w:sz w:val="24"/>
          <w:szCs w:val="24"/>
        </w:rPr>
        <w:t xml:space="preserve">eliela auguma (152 cm), sliktu redzi, kautrīgs, </w:t>
      </w:r>
      <w:r w:rsidR="001A4136">
        <w:rPr>
          <w:sz w:val="24"/>
          <w:szCs w:val="24"/>
        </w:rPr>
        <w:t>neizlēmīgs</w:t>
      </w:r>
      <w:r w:rsidRPr="00A83C12">
        <w:rPr>
          <w:sz w:val="24"/>
          <w:szCs w:val="24"/>
        </w:rPr>
        <w:t xml:space="preserve"> cilvēks. </w:t>
      </w:r>
      <w:r w:rsidR="001A4136">
        <w:rPr>
          <w:sz w:val="24"/>
          <w:szCs w:val="24"/>
        </w:rPr>
        <w:t>Bieži l</w:t>
      </w:r>
      <w:r w:rsidRPr="00A83C12">
        <w:rPr>
          <w:sz w:val="24"/>
          <w:szCs w:val="24"/>
        </w:rPr>
        <w:t xml:space="preserve">ieto alkoholu, spītīgs, biežas garastāvokļu maiņas. </w:t>
      </w:r>
      <w:r w:rsidR="001A4136">
        <w:rPr>
          <w:sz w:val="24"/>
          <w:szCs w:val="24"/>
        </w:rPr>
        <w:t>Draug</w:t>
      </w:r>
      <w:r w:rsidRPr="00A83C12">
        <w:rPr>
          <w:sz w:val="24"/>
          <w:szCs w:val="24"/>
        </w:rPr>
        <w:t>i iesauc par “</w:t>
      </w:r>
      <w:proofErr w:type="spellStart"/>
      <w:r w:rsidRPr="00351CF9">
        <w:rPr>
          <w:i/>
          <w:sz w:val="24"/>
          <w:szCs w:val="24"/>
        </w:rPr>
        <w:t>Schwammer</w:t>
      </w:r>
      <w:proofErr w:type="spellEnd"/>
      <w:r w:rsidRPr="00A83C12">
        <w:rPr>
          <w:sz w:val="24"/>
          <w:szCs w:val="24"/>
        </w:rPr>
        <w:t xml:space="preserve">” – </w:t>
      </w:r>
      <w:proofErr w:type="spellStart"/>
      <w:r w:rsidRPr="00A83C12">
        <w:rPr>
          <w:sz w:val="24"/>
          <w:szCs w:val="24"/>
        </w:rPr>
        <w:t>švamme</w:t>
      </w:r>
      <w:proofErr w:type="spellEnd"/>
      <w:r w:rsidRPr="00A83C12">
        <w:rPr>
          <w:sz w:val="24"/>
          <w:szCs w:val="24"/>
        </w:rPr>
        <w:t>,</w:t>
      </w:r>
      <w:r w:rsidR="001A4136">
        <w:rPr>
          <w:sz w:val="24"/>
          <w:szCs w:val="24"/>
        </w:rPr>
        <w:t xml:space="preserve"> </w:t>
      </w:r>
      <w:r w:rsidR="00351CF9">
        <w:rPr>
          <w:sz w:val="24"/>
          <w:szCs w:val="24"/>
        </w:rPr>
        <w:t xml:space="preserve">arī </w:t>
      </w:r>
      <w:r w:rsidR="001A4136">
        <w:rPr>
          <w:sz w:val="24"/>
          <w:szCs w:val="24"/>
        </w:rPr>
        <w:t>sēnīte. Bieži k</w:t>
      </w:r>
      <w:r w:rsidRPr="00A83C12">
        <w:rPr>
          <w:sz w:val="24"/>
          <w:szCs w:val="24"/>
        </w:rPr>
        <w:t>avē, nevīžīgi izturas pret uzrakstīto</w:t>
      </w:r>
      <w:r w:rsidR="001A4136">
        <w:rPr>
          <w:sz w:val="24"/>
          <w:szCs w:val="24"/>
        </w:rPr>
        <w:t>. Draugi dēvē arī par</w:t>
      </w:r>
      <w:r w:rsidR="009138C3" w:rsidRPr="00A83C12">
        <w:rPr>
          <w:sz w:val="24"/>
          <w:szCs w:val="24"/>
        </w:rPr>
        <w:t xml:space="preserve"> “</w:t>
      </w:r>
      <w:r w:rsidR="009138C3" w:rsidRPr="00351CF9">
        <w:rPr>
          <w:i/>
          <w:sz w:val="24"/>
          <w:szCs w:val="24"/>
        </w:rPr>
        <w:t xml:space="preserve">Kann </w:t>
      </w:r>
      <w:proofErr w:type="spellStart"/>
      <w:r w:rsidR="009138C3" w:rsidRPr="00351CF9">
        <w:rPr>
          <w:i/>
          <w:sz w:val="24"/>
          <w:szCs w:val="24"/>
        </w:rPr>
        <w:t>er</w:t>
      </w:r>
      <w:proofErr w:type="spellEnd"/>
      <w:r w:rsidR="009138C3" w:rsidRPr="00351CF9">
        <w:rPr>
          <w:i/>
          <w:sz w:val="24"/>
          <w:szCs w:val="24"/>
        </w:rPr>
        <w:t xml:space="preserve"> </w:t>
      </w:r>
      <w:proofErr w:type="spellStart"/>
      <w:r w:rsidR="009138C3" w:rsidRPr="00351CF9">
        <w:rPr>
          <w:i/>
          <w:sz w:val="24"/>
          <w:szCs w:val="24"/>
        </w:rPr>
        <w:t>was</w:t>
      </w:r>
      <w:proofErr w:type="spellEnd"/>
      <w:r w:rsidR="009138C3" w:rsidRPr="00A83C12">
        <w:rPr>
          <w:sz w:val="24"/>
          <w:szCs w:val="24"/>
        </w:rPr>
        <w:t xml:space="preserve">” – </w:t>
      </w:r>
      <w:r w:rsidR="00351CF9">
        <w:rPr>
          <w:sz w:val="24"/>
          <w:szCs w:val="24"/>
        </w:rPr>
        <w:t xml:space="preserve">jo saka “ </w:t>
      </w:r>
      <w:r w:rsidR="009138C3" w:rsidRPr="00A83C12">
        <w:rPr>
          <w:sz w:val="24"/>
          <w:szCs w:val="24"/>
        </w:rPr>
        <w:t>ko viņš māk darīt</w:t>
      </w:r>
      <w:r w:rsidR="00351CF9">
        <w:rPr>
          <w:sz w:val="24"/>
          <w:szCs w:val="24"/>
        </w:rPr>
        <w:t xml:space="preserve">?” </w:t>
      </w:r>
      <w:r w:rsidRPr="00A83C12">
        <w:rPr>
          <w:sz w:val="24"/>
          <w:szCs w:val="24"/>
        </w:rPr>
        <w:br/>
        <w:t>- aug lielā ģimenē, 14 bērni (tikai 5 izdzīvo)</w:t>
      </w:r>
      <w:r w:rsidR="009138C3" w:rsidRPr="00A83C12">
        <w:rPr>
          <w:sz w:val="24"/>
          <w:szCs w:val="24"/>
        </w:rPr>
        <w:t>, Šūberts – 12.</w:t>
      </w:r>
      <w:r w:rsidR="001A4136">
        <w:rPr>
          <w:sz w:val="24"/>
          <w:szCs w:val="24"/>
        </w:rPr>
        <w:t xml:space="preserve"> M</w:t>
      </w:r>
      <w:r w:rsidRPr="00A83C12">
        <w:rPr>
          <w:sz w:val="24"/>
          <w:szCs w:val="24"/>
        </w:rPr>
        <w:t>ācās pie tēva un brāļa</w:t>
      </w:r>
      <w:r w:rsidR="009138C3" w:rsidRPr="00A83C12">
        <w:rPr>
          <w:sz w:val="24"/>
          <w:szCs w:val="24"/>
        </w:rPr>
        <w:t>, bet tie ļoti ātri saprot, ka viņi vairs neko nevar viņam iemācīt. Labi dzied.</w:t>
      </w:r>
      <w:r w:rsidRPr="00A83C12">
        <w:rPr>
          <w:sz w:val="24"/>
          <w:szCs w:val="24"/>
        </w:rPr>
        <w:br/>
        <w:t xml:space="preserve">- mācās pie Saljēri, mācās </w:t>
      </w:r>
      <w:proofErr w:type="spellStart"/>
      <w:r w:rsidRPr="00351CF9">
        <w:rPr>
          <w:i/>
          <w:sz w:val="24"/>
          <w:szCs w:val="24"/>
        </w:rPr>
        <w:t>Sta</w:t>
      </w:r>
      <w:r w:rsidR="009138C3" w:rsidRPr="00351CF9">
        <w:rPr>
          <w:i/>
          <w:sz w:val="24"/>
          <w:szCs w:val="24"/>
        </w:rPr>
        <w:t>dtkonvikt</w:t>
      </w:r>
      <w:proofErr w:type="spellEnd"/>
      <w:r w:rsidR="009138C3" w:rsidRPr="00A83C12">
        <w:rPr>
          <w:sz w:val="24"/>
          <w:szCs w:val="24"/>
        </w:rPr>
        <w:t xml:space="preserve"> (valsts iestāde</w:t>
      </w:r>
      <w:r w:rsidR="00351CF9">
        <w:rPr>
          <w:sz w:val="24"/>
          <w:szCs w:val="24"/>
        </w:rPr>
        <w:t xml:space="preserve"> – kā internātskola</w:t>
      </w:r>
      <w:r w:rsidR="009138C3" w:rsidRPr="00A83C12">
        <w:rPr>
          <w:sz w:val="24"/>
          <w:szCs w:val="24"/>
        </w:rPr>
        <w:t>)</w:t>
      </w:r>
      <w:r w:rsidR="009138C3" w:rsidRPr="00A83C12">
        <w:rPr>
          <w:sz w:val="24"/>
          <w:szCs w:val="24"/>
        </w:rPr>
        <w:br/>
        <w:t>- ģimene domā, ka Š. Kļūs par sko</w:t>
      </w:r>
      <w:r w:rsidR="00351CF9">
        <w:rPr>
          <w:sz w:val="24"/>
          <w:szCs w:val="24"/>
        </w:rPr>
        <w:t>lotāju, bet tā nav viņa mīļākā nodarbe</w:t>
      </w:r>
      <w:r w:rsidR="009138C3" w:rsidRPr="00A83C12">
        <w:rPr>
          <w:sz w:val="24"/>
          <w:szCs w:val="24"/>
        </w:rPr>
        <w:t>.</w:t>
      </w:r>
      <w:r w:rsidR="009138C3" w:rsidRPr="00A83C12">
        <w:rPr>
          <w:sz w:val="24"/>
          <w:szCs w:val="24"/>
        </w:rPr>
        <w:br/>
        <w:t>- ir mīlas romāni, kas ne ar ko nebeidzas.</w:t>
      </w:r>
      <w:r w:rsidR="009138C3" w:rsidRPr="00A83C12">
        <w:rPr>
          <w:sz w:val="24"/>
          <w:szCs w:val="24"/>
        </w:rPr>
        <w:br/>
        <w:t>- draugi – Špauns, Mairhofers (dzejnieks, daudzu dziesmu autors, kurš beidz dzīvi pašnāvībā).</w:t>
      </w:r>
      <w:r w:rsidR="001A4136">
        <w:rPr>
          <w:sz w:val="24"/>
          <w:szCs w:val="24"/>
        </w:rPr>
        <w:t xml:space="preserve"> </w:t>
      </w:r>
      <w:r w:rsidR="00351CF9">
        <w:rPr>
          <w:sz w:val="24"/>
          <w:szCs w:val="24"/>
        </w:rPr>
        <w:t xml:space="preserve">   </w:t>
      </w:r>
      <w:r w:rsidR="001A4136" w:rsidRPr="00A83C12">
        <w:rPr>
          <w:sz w:val="24"/>
          <w:szCs w:val="24"/>
        </w:rPr>
        <w:t xml:space="preserve">draudzība ar dziedātāju </w:t>
      </w:r>
      <w:proofErr w:type="spellStart"/>
      <w:r w:rsidR="001A4136" w:rsidRPr="00A83C12">
        <w:rPr>
          <w:sz w:val="24"/>
          <w:szCs w:val="24"/>
        </w:rPr>
        <w:t>Foglu</w:t>
      </w:r>
      <w:proofErr w:type="spellEnd"/>
      <w:r w:rsidR="00351CF9">
        <w:rPr>
          <w:sz w:val="24"/>
          <w:szCs w:val="24"/>
        </w:rPr>
        <w:br/>
        <w:t xml:space="preserve">-  </w:t>
      </w:r>
      <w:r w:rsidR="009138C3" w:rsidRPr="00A83C12">
        <w:rPr>
          <w:sz w:val="24"/>
          <w:szCs w:val="24"/>
        </w:rPr>
        <w:t>tikai 1815.gadā – 150 dziesmas (</w:t>
      </w:r>
      <w:r w:rsidR="00351CF9" w:rsidRPr="00A83C12">
        <w:rPr>
          <w:sz w:val="24"/>
          <w:szCs w:val="24"/>
        </w:rPr>
        <w:t xml:space="preserve">“Grietiņa pie ratiņa”, </w:t>
      </w:r>
      <w:r w:rsidR="00351CF9">
        <w:rPr>
          <w:sz w:val="24"/>
          <w:szCs w:val="24"/>
        </w:rPr>
        <w:t xml:space="preserve">“ </w:t>
      </w:r>
      <w:r w:rsidR="009138C3" w:rsidRPr="00A83C12">
        <w:rPr>
          <w:sz w:val="24"/>
          <w:szCs w:val="24"/>
        </w:rPr>
        <w:t>Meža ķēniņš</w:t>
      </w:r>
      <w:r w:rsidR="00351CF9">
        <w:rPr>
          <w:sz w:val="24"/>
          <w:szCs w:val="24"/>
        </w:rPr>
        <w:t xml:space="preserve">” </w:t>
      </w:r>
      <w:r w:rsidR="009138C3" w:rsidRPr="00A83C12">
        <w:rPr>
          <w:sz w:val="24"/>
          <w:szCs w:val="24"/>
        </w:rPr>
        <w:t xml:space="preserve">), 2 simfonijas </w:t>
      </w:r>
      <w:r w:rsidR="009138C3" w:rsidRPr="00A83C12">
        <w:rPr>
          <w:sz w:val="24"/>
          <w:szCs w:val="24"/>
        </w:rPr>
        <w:br/>
        <w:t>- 1818.gadā aiziet no ģimenes, pirmās publiskās uzstāšanās</w:t>
      </w:r>
      <w:r w:rsidR="009138C3" w:rsidRPr="00A83C12">
        <w:rPr>
          <w:sz w:val="24"/>
          <w:szCs w:val="24"/>
        </w:rPr>
        <w:br/>
        <w:t xml:space="preserve">- no 1821. – </w:t>
      </w:r>
      <w:r w:rsidR="00351CF9">
        <w:rPr>
          <w:sz w:val="24"/>
          <w:szCs w:val="24"/>
        </w:rPr>
        <w:t xml:space="preserve">“ </w:t>
      </w:r>
      <w:proofErr w:type="spellStart"/>
      <w:r w:rsidR="009138C3" w:rsidRPr="00A83C12">
        <w:rPr>
          <w:sz w:val="24"/>
          <w:szCs w:val="24"/>
        </w:rPr>
        <w:t>Šūbertiādes</w:t>
      </w:r>
      <w:proofErr w:type="spellEnd"/>
      <w:r w:rsidR="00351CF9">
        <w:rPr>
          <w:sz w:val="24"/>
          <w:szCs w:val="24"/>
        </w:rPr>
        <w:t>”</w:t>
      </w:r>
      <w:r w:rsidR="009138C3" w:rsidRPr="00A83C12">
        <w:rPr>
          <w:sz w:val="24"/>
          <w:szCs w:val="24"/>
        </w:rPr>
        <w:t xml:space="preserve">, </w:t>
      </w:r>
      <w:r w:rsidR="00351CF9">
        <w:rPr>
          <w:sz w:val="24"/>
          <w:szCs w:val="24"/>
        </w:rPr>
        <w:t xml:space="preserve">Francis </w:t>
      </w:r>
      <w:proofErr w:type="spellStart"/>
      <w:r w:rsidR="00351CF9">
        <w:rPr>
          <w:sz w:val="24"/>
          <w:szCs w:val="24"/>
        </w:rPr>
        <w:t>Šoberts</w:t>
      </w:r>
      <w:proofErr w:type="spellEnd"/>
      <w:r w:rsidR="00351CF9">
        <w:rPr>
          <w:sz w:val="24"/>
          <w:szCs w:val="24"/>
        </w:rPr>
        <w:t xml:space="preserve">, </w:t>
      </w:r>
      <w:r w:rsidR="009138C3" w:rsidRPr="00A83C12">
        <w:rPr>
          <w:sz w:val="24"/>
          <w:szCs w:val="24"/>
        </w:rPr>
        <w:t>pirmās slimības pazīmes,  operas</w:t>
      </w:r>
      <w:r w:rsidR="009138C3" w:rsidRPr="00A83C12">
        <w:rPr>
          <w:sz w:val="24"/>
          <w:szCs w:val="24"/>
        </w:rPr>
        <w:br/>
        <w:t>- 1822 - “Nepabe</w:t>
      </w:r>
      <w:r w:rsidR="00351CF9">
        <w:rPr>
          <w:sz w:val="24"/>
          <w:szCs w:val="24"/>
        </w:rPr>
        <w:t>igtā simfonija”,  Šūberts un Bēthovens, Šūberts un Gēte.</w:t>
      </w:r>
      <w:r w:rsidR="009138C3" w:rsidRPr="00A83C12">
        <w:rPr>
          <w:sz w:val="24"/>
          <w:szCs w:val="24"/>
        </w:rPr>
        <w:br/>
      </w:r>
      <w:r w:rsidR="00A83C12" w:rsidRPr="00A83C12">
        <w:rPr>
          <w:sz w:val="24"/>
          <w:szCs w:val="24"/>
        </w:rPr>
        <w:t>- 1823 – 1828 – ļoti ražīgi gadi. Dziesmu cikli, Do mažora simfonija, pirmais un vienīgais autorkoncerts</w:t>
      </w:r>
      <w:r w:rsidR="00A83C12" w:rsidRPr="00A83C12">
        <w:rPr>
          <w:sz w:val="24"/>
          <w:szCs w:val="24"/>
        </w:rPr>
        <w:br/>
        <w:t>- 1828 – mirst no sifilisa?, tīfa?, saindēšanās no dzīvsudraba?</w:t>
      </w:r>
      <w:r w:rsidR="001A4136">
        <w:rPr>
          <w:sz w:val="24"/>
          <w:szCs w:val="24"/>
        </w:rPr>
        <w:t xml:space="preserve"> Apglabāts netālu no Bēthovena. Uz kapu pieminekļa rakstīts </w:t>
      </w:r>
      <w:r w:rsidR="001A4136" w:rsidRPr="001A4136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"Nāve apbedījusi te brīnišķīgu dārgumu, Bet vēl krāšņākas cerības"</w:t>
      </w:r>
    </w:p>
    <w:p w:rsidR="008D1B39" w:rsidRDefault="00A83C12">
      <w:pPr>
        <w:rPr>
          <w:sz w:val="24"/>
          <w:szCs w:val="24"/>
        </w:rPr>
      </w:pPr>
      <w:r w:rsidRPr="00A83C12">
        <w:rPr>
          <w:sz w:val="24"/>
          <w:szCs w:val="24"/>
        </w:rPr>
        <w:t>Galvenais žanrs – vācu dziesma “</w:t>
      </w:r>
      <w:proofErr w:type="spellStart"/>
      <w:r w:rsidRPr="00A83C12">
        <w:rPr>
          <w:sz w:val="24"/>
          <w:szCs w:val="24"/>
        </w:rPr>
        <w:t>Lied</w:t>
      </w:r>
      <w:proofErr w:type="spellEnd"/>
      <w:r w:rsidRPr="00A83C12">
        <w:rPr>
          <w:sz w:val="24"/>
          <w:szCs w:val="24"/>
        </w:rPr>
        <w:t>”</w:t>
      </w:r>
      <w:r w:rsidR="00351CF9">
        <w:rPr>
          <w:sz w:val="24"/>
          <w:szCs w:val="24"/>
        </w:rPr>
        <w:t>, pāri par 600</w:t>
      </w:r>
      <w:r w:rsidRPr="00A83C12">
        <w:rPr>
          <w:sz w:val="24"/>
          <w:szCs w:val="24"/>
        </w:rPr>
        <w:br/>
      </w:r>
    </w:p>
    <w:p w:rsidR="001A4136" w:rsidRDefault="001A4136">
      <w:pPr>
        <w:rPr>
          <w:sz w:val="24"/>
          <w:szCs w:val="24"/>
        </w:rPr>
      </w:pPr>
      <w:r>
        <w:rPr>
          <w:noProof/>
          <w:lang w:eastAsia="lv-LV"/>
        </w:rPr>
        <w:lastRenderedPageBreak/>
        <w:drawing>
          <wp:inline distT="0" distB="0" distL="0" distR="0">
            <wp:extent cx="5943600" cy="7251192"/>
            <wp:effectExtent l="0" t="0" r="0" b="6985"/>
            <wp:docPr id="1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5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136" w:rsidRDefault="001A4136">
      <w:pPr>
        <w:rPr>
          <w:sz w:val="24"/>
          <w:szCs w:val="24"/>
        </w:rPr>
      </w:pPr>
    </w:p>
    <w:p w:rsidR="001A4136" w:rsidRDefault="001A4136">
      <w:pPr>
        <w:rPr>
          <w:sz w:val="24"/>
          <w:szCs w:val="24"/>
        </w:rPr>
      </w:pPr>
    </w:p>
    <w:p w:rsidR="001A4136" w:rsidRDefault="001A4136">
      <w:pPr>
        <w:rPr>
          <w:sz w:val="24"/>
          <w:szCs w:val="24"/>
        </w:rPr>
      </w:pPr>
    </w:p>
    <w:p w:rsidR="001A4136" w:rsidRPr="00A83C12" w:rsidRDefault="001A4136">
      <w:pPr>
        <w:rPr>
          <w:sz w:val="24"/>
          <w:szCs w:val="24"/>
        </w:rPr>
      </w:pPr>
      <w:r>
        <w:rPr>
          <w:noProof/>
          <w:lang w:eastAsia="lv-LV"/>
        </w:rPr>
        <w:lastRenderedPageBreak/>
        <w:drawing>
          <wp:inline distT="0" distB="0" distL="0" distR="0">
            <wp:extent cx="5210175" cy="7010400"/>
            <wp:effectExtent l="0" t="0" r="9525" b="0"/>
            <wp:docPr id="2" name="Pictur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136" w:rsidRPr="00A8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E1"/>
    <w:rsid w:val="001A4136"/>
    <w:rsid w:val="00351CF9"/>
    <w:rsid w:val="00386B74"/>
    <w:rsid w:val="005E2275"/>
    <w:rsid w:val="006E362A"/>
    <w:rsid w:val="008D1B39"/>
    <w:rsid w:val="009138C3"/>
    <w:rsid w:val="00A83C12"/>
    <w:rsid w:val="00B43DE1"/>
    <w:rsid w:val="00D4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7547"/>
  <w15:chartTrackingRefBased/>
  <w15:docId w15:val="{D8F05468-4E72-4A25-9D69-0D2A5EA9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2024-06-03T06:36:00Z</dcterms:created>
  <dcterms:modified xsi:type="dcterms:W3CDTF">2024-06-03T06:36:00Z</dcterms:modified>
</cp:coreProperties>
</file>